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0411" w14:textId="77777777" w:rsidR="00237628" w:rsidRPr="00237628" w:rsidRDefault="00237628" w:rsidP="00237628">
      <w:pPr>
        <w:shd w:val="clear" w:color="auto" w:fill="FFFFFF"/>
        <w:spacing w:before="240" w:after="240" w:line="240" w:lineRule="auto"/>
        <w:jc w:val="center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proofErr w:type="spellStart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Exploring</w:t>
      </w:r>
      <w:proofErr w:type="spellEnd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Potential</w:t>
      </w:r>
      <w:proofErr w:type="spellEnd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 xml:space="preserve"> of Double </w:t>
      </w:r>
      <w:proofErr w:type="spellStart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Perovskite</w:t>
      </w:r>
      <w:proofErr w:type="spellEnd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Ba₂NiWO</w:t>
      </w:r>
      <w:proofErr w:type="spellEnd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 xml:space="preserve">₆ </w:t>
      </w:r>
      <w:proofErr w:type="spellStart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Using</w:t>
      </w:r>
      <w:proofErr w:type="spellEnd"/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 xml:space="preserve"> Computer Simulation</w:t>
      </w:r>
    </w:p>
    <w:p w14:paraId="30BFB5FA" w14:textId="7210B25F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b/>
          <w:bCs/>
          <w:noProof w:val="0"/>
          <w:color w:val="4472C4" w:themeColor="accent5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noProof w:val="0"/>
          <w:color w:val="0F1115"/>
          <w:lang w:val="fr-DZ" w:eastAsia="fr-DZ"/>
        </w:rPr>
        <w:t xml:space="preserve">Hamdi Cherif Mohammed¹, Noureddine Machoude¹, </w:t>
      </w:r>
      <w:proofErr w:type="spellStart"/>
      <w:r w:rsidRPr="00237628">
        <w:rPr>
          <w:rFonts w:ascii="Segoe UI" w:eastAsia="Times New Roman" w:hAnsi="Segoe UI" w:cs="Segoe UI"/>
          <w:b/>
          <w:bCs/>
          <w:noProof w:val="0"/>
          <w:color w:val="0F1115"/>
          <w:lang w:val="fr-DZ" w:eastAsia="fr-DZ"/>
        </w:rPr>
        <w:t>Bouadjemi</w:t>
      </w:r>
      <w:proofErr w:type="spellEnd"/>
      <w:r w:rsidRPr="00237628">
        <w:rPr>
          <w:rFonts w:ascii="Segoe UI" w:eastAsia="Times New Roman" w:hAnsi="Segoe UI" w:cs="Segoe UI"/>
          <w:b/>
          <w:bCs/>
          <w:noProof w:val="0"/>
          <w:color w:val="0F1115"/>
          <w:lang w:val="fr-DZ" w:eastAsia="fr-DZ"/>
        </w:rPr>
        <w:t xml:space="preserve"> Bouabdellah¹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¹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Laboratory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Technology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Solid’s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Faculty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Sciences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Technology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Abdelhamid Ibn Badis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University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, BP 227, Mostaganem 27000, Algeria.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</w:r>
      <w:r w:rsidRPr="00237628">
        <w:rPr>
          <w:rFonts w:ascii="Segoe UI" w:eastAsia="Times New Roman" w:hAnsi="Segoe UI" w:cs="Segoe UI"/>
          <w:noProof w:val="0"/>
          <w:color w:val="4472C4" w:themeColor="accent5"/>
          <w:sz w:val="24"/>
          <w:szCs w:val="24"/>
          <w:lang w:val="fr-DZ" w:eastAsia="fr-DZ"/>
        </w:rPr>
        <w:t>mohammed.hamdicheerif.etu@univ-mosta.dz</w:t>
      </w:r>
    </w:p>
    <w:p w14:paraId="45B4FB55" w14:textId="7777777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i/>
          <w:iCs/>
          <w:noProof w:val="0"/>
          <w:color w:val="0F1115"/>
          <w:sz w:val="24"/>
          <w:szCs w:val="24"/>
          <w:lang w:val="fr-DZ" w:eastAsia="fr-DZ"/>
        </w:rPr>
        <w:t>ABSTRACT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This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study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presents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comprehensive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theoretical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investigation of the structural,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thermal,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elastic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the double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compound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Ba₂NiWO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₆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using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Density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Functional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Theory (DFT). The Full-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Potential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Linearized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Augmented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Plane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Wave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(FP-LAPW)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method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implemented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the WIEN2k code,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was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employed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enhance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accuracy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bandgap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predictions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, the GGA, GGA+U, and TB-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mBJ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approximations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were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incorporated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The compound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was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found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crystallize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cubic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structure (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space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group Fm3̅m)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exhibits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negative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formation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energies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confirming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thermodynamic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stability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feasibility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experimental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synthesis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Furthermore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calculated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optimal Hubbard U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parameter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use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with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GGA+U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method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determining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value of 2.32 eV. Magnetic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characterization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revealed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net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moment of 4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μB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indicating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half-metallic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nature,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which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makes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compound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promising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candidate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spintronic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applications. The compound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also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demonstrates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notable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particularly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the ultraviolet (UV)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region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Additionally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exhibits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figure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merit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(ZT) values close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unity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across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wide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temperature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range,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underscoring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potential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applications.</w:t>
      </w:r>
    </w:p>
    <w:p w14:paraId="4B1AB89B" w14:textId="7777777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i/>
          <w:iCs/>
          <w:noProof w:val="0"/>
          <w:color w:val="0F1115"/>
          <w:sz w:val="24"/>
          <w:szCs w:val="24"/>
          <w:lang w:val="fr-DZ" w:eastAsia="fr-DZ"/>
        </w:rPr>
        <w:t>KEYWORDS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Density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Functional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Theory, Double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Optoelectronic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Wien2k,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Materials</w:t>
      </w:r>
    </w:p>
    <w:p w14:paraId="5B28EC25" w14:textId="7777777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1. INTRODUCTION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demand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advanced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materials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with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unique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has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raised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sharply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with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growth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spintronics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sustainable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energy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solutions. Double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compounds,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specifically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Ba₂NiWO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₆,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offer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promising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attributes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these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applications due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their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high thermal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stability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diverse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optoelectronic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potential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However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certain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technological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gaps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persist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particularly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developing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materials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that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maintain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high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efficiency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across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wide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temperature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range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exhibit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half-metallicity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enhanced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spintronic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performance. This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study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aims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address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these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gaps by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exploring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structural,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mechanical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optoelectronic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Ba₂NiWO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₆ leveraging first-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principles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calculations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These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compounds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exhibit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impressive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figures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merit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(ZT),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with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values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nearing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unity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over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broad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temperature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ranges.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Additionally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the compounds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demonstrate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half-metallic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behavior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significant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moments,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supporting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their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utility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spintronic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applications. 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lastRenderedPageBreak/>
        <w:t xml:space="preserve">This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study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thus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bridges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critical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gaps by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providing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foundation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experimental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synthesis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device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integration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these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double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Recent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advances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spintronic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materials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highlight the value of compounds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with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high spin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polarization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stability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varied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environments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Studies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similar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have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shown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potential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specific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applications but have not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achieved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comparable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results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across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diverse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functional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especially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efficiency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response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By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expanding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these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findings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this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work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contributes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novel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analysis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that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essential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advancing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double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both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sustainable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energy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spintronic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device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applications.</w:t>
      </w:r>
    </w:p>
    <w:p w14:paraId="4BF83F7A" w14:textId="7777777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2. METHODS / APPROACH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this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study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employed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Full-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Potential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Linearized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Augmented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Plane-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Wave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(FP-LAPW)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method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[1], as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implemented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the Wien2K code [1],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within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framework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Density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Functional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Theory (DFT) [2].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Initially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applied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Generalized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Gradient Approximation (GGA-PBE) [4],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subsequently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refined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our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results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using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GGA + U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approach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which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accurately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describes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electron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correlation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partially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filled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outer-shell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elements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[3],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such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as the transition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metals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under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investigation.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did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not stop </w:t>
      </w:r>
      <w:proofErr w:type="spellStart"/>
      <w:proofErr w:type="gram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;</w:t>
      </w:r>
      <w:proofErr w:type="gram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further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improved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results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achieve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higher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accuracy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outcomes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more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closely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aligned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with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practical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applications.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this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end,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implemented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TB-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mBJ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(GGA + U) approximation [4].</w:t>
      </w:r>
    </w:p>
    <w:p w14:paraId="0DA804B7" w14:textId="7777777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3. RESULTS AND DISCUSSIONS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Several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key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findings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were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proofErr w:type="gram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obtained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:</w:t>
      </w:r>
      <w:proofErr w:type="gram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Our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results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confirmed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formation of the compound in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cubic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structure,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stability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was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verified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through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calculations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consistent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with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previous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studies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(Figures 1 and 2, and Table 1).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found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that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compound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exhibits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ferromagnetic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state, as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illustrated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Figure 2.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observed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that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bandgap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increases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when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applying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GGA+U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mBJ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(GGA+U) approximations,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ranging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between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1 and 2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electron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volts (Figure 3). In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optoelectronic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domain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discovered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that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this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compound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exhibits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strong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absorption in the ultraviolet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region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(Figure 4),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making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promising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candidate for use as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wavelength-specific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sensor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In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field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noted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that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our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compound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possesses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significant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Seebeck coefficient of 3 millivolts at room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temperature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(Figure 5).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Additionally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found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that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has a figure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merit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very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close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unity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(Figure 6),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which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makes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promising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candidate for applications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devices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such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sensors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or thermal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energy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-to-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electricity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converters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.</w:t>
      </w:r>
    </w:p>
    <w:p w14:paraId="01C98859" w14:textId="7777777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4. FIGURES AND TABLES</w:t>
      </w:r>
    </w:p>
    <w:p w14:paraId="2B8063B9" w14:textId="7777777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  <w:t xml:space="preserve">Table 1. Comparative structural </w:t>
      </w:r>
      <w:proofErr w:type="spellStart"/>
      <w:r w:rsidRPr="00237628"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  <w:t>parameters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0"/>
        <w:gridCol w:w="1443"/>
        <w:gridCol w:w="1621"/>
      </w:tblGrid>
      <w:tr w:rsidR="00237628" w:rsidRPr="00237628" w14:paraId="3BAE54C2" w14:textId="77777777" w:rsidTr="00237628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77E7C2F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proofErr w:type="spellStart"/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Parameter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A6F0EF6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 xml:space="preserve">This </w:t>
            </w:r>
            <w:proofErr w:type="spellStart"/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work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19DBED2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proofErr w:type="spellStart"/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Other</w:t>
            </w:r>
            <w:proofErr w:type="spellEnd"/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 xml:space="preserve"> </w:t>
            </w:r>
            <w:proofErr w:type="spellStart"/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work</w:t>
            </w:r>
            <w:proofErr w:type="spellEnd"/>
          </w:p>
        </w:tc>
      </w:tr>
      <w:tr w:rsidR="00237628" w:rsidRPr="00237628" w14:paraId="0179AD1D" w14:textId="77777777" w:rsidTr="0023762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9F6617B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T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067EB4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1.02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37A31F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0.999 [5]</w:t>
            </w:r>
          </w:p>
        </w:tc>
      </w:tr>
      <w:tr w:rsidR="00237628" w:rsidRPr="00237628" w14:paraId="738AB7CA" w14:textId="77777777" w:rsidTr="0023762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3F2E4A3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proofErr w:type="spellStart"/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lastRenderedPageBreak/>
              <w:t>Ef</w:t>
            </w:r>
            <w:proofErr w:type="spell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83A166A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-2.015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77A8D47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</w:p>
        </w:tc>
      </w:tr>
      <w:tr w:rsidR="00237628" w:rsidRPr="00237628" w14:paraId="41B1C947" w14:textId="77777777" w:rsidTr="0023762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BB9C48F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proofErr w:type="gramStart"/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a</w:t>
            </w:r>
            <w:proofErr w:type="gramEnd"/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0B66550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7.829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0596CDA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7.890 [5]</w:t>
            </w:r>
          </w:p>
        </w:tc>
      </w:tr>
      <w:tr w:rsidR="00237628" w:rsidRPr="00237628" w14:paraId="1DDA10A3" w14:textId="77777777" w:rsidTr="0023762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C8379B7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AE141EA" w14:textId="77777777" w:rsidR="00237628" w:rsidRPr="00237628" w:rsidRDefault="00237628" w:rsidP="00237628">
            <w:pPr>
              <w:spacing w:after="0" w:line="375" w:lineRule="atLeast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fr-DZ" w:eastAsia="fr-DZ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EAA7F14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7.832 [6]</w:t>
            </w:r>
          </w:p>
        </w:tc>
      </w:tr>
      <w:tr w:rsidR="00237628" w:rsidRPr="00237628" w14:paraId="680CD10C" w14:textId="77777777" w:rsidTr="0023762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1BD061F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BA0A2FC" w14:textId="77777777" w:rsidR="00237628" w:rsidRPr="00237628" w:rsidRDefault="00237628" w:rsidP="00237628">
            <w:pPr>
              <w:spacing w:after="0" w:line="375" w:lineRule="atLeast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fr-DZ" w:eastAsia="fr-DZ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C998194" w14:textId="77777777" w:rsidR="00237628" w:rsidRPr="00237628" w:rsidRDefault="00237628" w:rsidP="00237628">
            <w:pPr>
              <w:spacing w:after="0" w:line="375" w:lineRule="atLeast"/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</w:pPr>
            <w:r w:rsidRPr="00237628">
              <w:rPr>
                <w:rFonts w:ascii="Segoe UI" w:eastAsia="Times New Roman" w:hAnsi="Segoe UI" w:cs="Segoe UI"/>
                <w:noProof w:val="0"/>
                <w:sz w:val="23"/>
                <w:szCs w:val="23"/>
                <w:lang w:val="fr-DZ" w:eastAsia="fr-DZ"/>
              </w:rPr>
              <w:t>7.820 [7]</w:t>
            </w:r>
          </w:p>
        </w:tc>
      </w:tr>
    </w:tbl>
    <w:p w14:paraId="180D2F0F" w14:textId="3EE32156" w:rsid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  <w:t xml:space="preserve">Figure 1. </w:t>
      </w:r>
    </w:p>
    <w:p w14:paraId="2A82C6D2" w14:textId="76123350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rtl/>
          <w:lang w:eastAsia="fr-DZ"/>
        </w:rPr>
      </w:pPr>
      <w:r w:rsidRPr="001B204F">
        <w:drawing>
          <wp:inline distT="0" distB="0" distL="0" distR="0" wp14:anchorId="334779C7" wp14:editId="5817888E">
            <wp:extent cx="2611088" cy="20262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7702" cy="2039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5841C" w14:textId="5BE6A96A" w:rsid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  <w:t xml:space="preserve">Figure 2. </w:t>
      </w:r>
    </w:p>
    <w:p w14:paraId="3AFE392D" w14:textId="29A7602C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1B204F">
        <w:rPr>
          <w:rFonts w:asciiTheme="majorBidi" w:hAnsiTheme="majorBidi" w:cstheme="majorBidi"/>
          <w:sz w:val="18"/>
          <w:szCs w:val="18"/>
        </w:rPr>
        <w:drawing>
          <wp:inline distT="0" distB="0" distL="0" distR="0" wp14:anchorId="1521320F" wp14:editId="358A1429">
            <wp:extent cx="2772461" cy="209795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0939" cy="2104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80AD1" w14:textId="0D3430E7" w:rsid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  <w:t xml:space="preserve">Figure 3. </w:t>
      </w:r>
    </w:p>
    <w:p w14:paraId="2644D6C0" w14:textId="7A87A7D7" w:rsid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</w:pPr>
      <w:r w:rsidRPr="001B204F">
        <w:rPr>
          <w:rFonts w:asciiTheme="majorBidi" w:hAnsiTheme="majorBidi" w:cstheme="majorBidi"/>
          <w:sz w:val="18"/>
          <w:szCs w:val="18"/>
        </w:rPr>
        <w:lastRenderedPageBreak/>
        <w:drawing>
          <wp:inline distT="0" distB="0" distL="0" distR="0" wp14:anchorId="413EE721" wp14:editId="2535B8ED">
            <wp:extent cx="5361126" cy="303113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102" r="2118"/>
                    <a:stretch/>
                  </pic:blipFill>
                  <pic:spPr bwMode="auto">
                    <a:xfrm>
                      <a:off x="0" y="0"/>
                      <a:ext cx="5417199" cy="3062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B9BAEE" w14:textId="4DA34CA6" w:rsid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  <w:t xml:space="preserve">Figure 4. </w:t>
      </w:r>
    </w:p>
    <w:p w14:paraId="0CC04B0F" w14:textId="45A138A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3B6291">
        <w:drawing>
          <wp:inline distT="0" distB="0" distL="0" distR="0" wp14:anchorId="5507276C" wp14:editId="0E804263">
            <wp:extent cx="2511188" cy="2015345"/>
            <wp:effectExtent l="0" t="0" r="381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1443" cy="202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C7451" w14:textId="697F95DF" w:rsid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  <w:t xml:space="preserve">Figure 5. </w:t>
      </w:r>
    </w:p>
    <w:p w14:paraId="5EA577E8" w14:textId="2FB85447" w:rsid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</w:pPr>
      <w:r w:rsidRPr="003B6291">
        <w:drawing>
          <wp:inline distT="0" distB="0" distL="0" distR="0" wp14:anchorId="4D85FFC2" wp14:editId="28B198C2">
            <wp:extent cx="2550836" cy="2047164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8156" cy="2053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36B00" w14:textId="0B600D35" w:rsid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val="fr-DZ" w:eastAsia="fr-DZ"/>
        </w:rPr>
        <w:t xml:space="preserve">Figure 6. </w:t>
      </w:r>
    </w:p>
    <w:p w14:paraId="7EE76A9D" w14:textId="0EF20A5D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i/>
          <w:iCs/>
          <w:noProof w:val="0"/>
          <w:color w:val="0F1115"/>
          <w:sz w:val="24"/>
          <w:szCs w:val="24"/>
          <w:lang w:eastAsia="fr-DZ"/>
        </w:rPr>
      </w:pPr>
      <w:r w:rsidRPr="00493556">
        <w:rPr>
          <w:rFonts w:ascii="Times New Roman" w:hAnsi="Times New Roman" w:cs="Times New Roman"/>
          <w:lang w:bidi="ar-DZ"/>
        </w:rPr>
        <w:lastRenderedPageBreak/>
        <w:drawing>
          <wp:inline distT="0" distB="0" distL="0" distR="0" wp14:anchorId="7684590A" wp14:editId="4E58CADE">
            <wp:extent cx="2715904" cy="2059246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7639" cy="2068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F7630" w14:textId="01B6331C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noProof w:val="0"/>
          <w:color w:val="0F1115"/>
          <w:sz w:val="24"/>
          <w:szCs w:val="24"/>
          <w:lang w:val="fr-DZ" w:eastAsia="fr-DZ"/>
        </w:rPr>
        <w:t>5. CONCLUSION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Potential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developments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materials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effective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energy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harvesting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waste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heat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recovery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well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spintronic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devices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like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sensors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memory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storage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are made possible by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these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discoveries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Moreover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their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characteristics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position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them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suitable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options for use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photovoltaics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, light-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emitting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devices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various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fields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optoelectronics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In future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work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conducting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experimental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validation of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theoretical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predictions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would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significantly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improve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credibility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these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findings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Investigating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further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dopants 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chemical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alterations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these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compounds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uncover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avenues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customize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their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characteristics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specific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technological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uses. This investigation,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consequently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enhances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existing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knowledge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double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materials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while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also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emphasizing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their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significant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potential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contemporary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technology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.</w:t>
      </w:r>
    </w:p>
    <w:p w14:paraId="273608AC" w14:textId="7777777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i/>
          <w:iCs/>
          <w:noProof w:val="0"/>
          <w:color w:val="0F1115"/>
          <w:sz w:val="24"/>
          <w:szCs w:val="24"/>
          <w:lang w:val="fr-DZ" w:eastAsia="fr-DZ"/>
        </w:rPr>
        <w:t>ACKNOWLEDGEMENTS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thank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everyone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who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contributed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to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enriching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this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work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including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independent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members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.</w:t>
      </w:r>
    </w:p>
    <w:p w14:paraId="5EF7846D" w14:textId="77777777" w:rsidR="00237628" w:rsidRPr="00237628" w:rsidRDefault="00237628" w:rsidP="0023762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</w:pPr>
      <w:r w:rsidRPr="00237628">
        <w:rPr>
          <w:rFonts w:ascii="Segoe UI" w:eastAsia="Times New Roman" w:hAnsi="Segoe UI" w:cs="Segoe UI"/>
          <w:b/>
          <w:bCs/>
          <w:i/>
          <w:iCs/>
          <w:noProof w:val="0"/>
          <w:color w:val="0F1115"/>
          <w:sz w:val="24"/>
          <w:szCs w:val="24"/>
          <w:lang w:val="fr-DZ" w:eastAsia="fr-DZ"/>
        </w:rPr>
        <w:t>REFERENCES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[1] P.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Blaha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K. Schwarz, G. K. Madsen, D.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Kvasnicka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and J.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Luitz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"wien2k," An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augmented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plane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wave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+ local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orbitals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program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calculating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crystal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, vol. 60, 2001.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[2] V.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Anisimov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O.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Gunnarsson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, "Density-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functional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calculation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effective Coulomb interactions in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metals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," Physical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Review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B, vol. 43, p. 7570, 1991.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[3] M. H. Cherif, M.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Terkhi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L.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Beldi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M. Houari, B.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Bouadjemi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S.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Haid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M.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Matougui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T.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Lantri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S.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Bentata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and S.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Mesbah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"Innovative double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: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unveiling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the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dynamical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stability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optoelectronic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transport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Ba2CrWO6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applications," Optical and Quantum Electronics, vol. 56, p. 1532, 2024.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[4] 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Mechehoud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Zitouni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B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Bouadjemi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M Houari, 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Haid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M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Matougui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M Hamdi Cherif, T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Lantri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S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Bentata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B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Bouhafs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Comprehensive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DFT+ U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Study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Optoelectronic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a new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half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semiconductor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(HSC)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Chloro-Elpasolite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Rb2AgMoCl6 for Green Energy. Solid State Communications. Volume 715, 417603, 15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October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2025.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lastRenderedPageBreak/>
        <w:t xml:space="preserve">[5] M Hamdi Cherif, L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Beldi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M Houari,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Bouabdalah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Bouadjemi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Slimane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Haid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Mohamed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Matougui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T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Lantri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N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Mechehoud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Zitouni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W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Benstaali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Samir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Bentata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Z Aziz, Bachir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Bouhafs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Theoretical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investigation of Sr2TmWO6 (Tm=Cr, Fe, and Co</w:t>
      </w:r>
      <w:proofErr w:type="gram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):</w:t>
      </w:r>
      <w:proofErr w:type="gram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Analyzing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structural,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mechanical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optoelectronic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for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enhanced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spintronic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applications. Solid State Communications. Volume 397, 115792. 1 March 2025.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[6] N.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Rammeh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H. Ehrenberg, H.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Fuess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and A.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Cheikkh‐Rouhou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"Structure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the double‐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Ba2 (B, Re) 2O6 (B= Fe, Mn, Co and Ni),"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physica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status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solidi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c, vol. 3, no. 9, pp. 3225-3228, 2006.</w:t>
      </w:r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br/>
        <w:t xml:space="preserve">[7] A.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Harbi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M.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Moutaabbid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, "First-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principles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investigation of structural,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elastic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thermoelectric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electronic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, and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optical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properties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ordered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double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perovskite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Ba2MWO6 (M= Mg, Zn, and Cd)," Journal of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Superconductivity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 xml:space="preserve"> and Novel </w:t>
      </w:r>
      <w:proofErr w:type="spellStart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Magnetism</w:t>
      </w:r>
      <w:proofErr w:type="spellEnd"/>
      <w:r w:rsidRPr="00237628">
        <w:rPr>
          <w:rFonts w:ascii="Segoe UI" w:eastAsia="Times New Roman" w:hAnsi="Segoe UI" w:cs="Segoe UI"/>
          <w:noProof w:val="0"/>
          <w:color w:val="0F1115"/>
          <w:sz w:val="24"/>
          <w:szCs w:val="24"/>
          <w:lang w:val="fr-DZ" w:eastAsia="fr-DZ"/>
        </w:rPr>
        <w:t>, vol. 35, no. 11, pp. 3447-3456, 2022.</w:t>
      </w:r>
    </w:p>
    <w:p w14:paraId="34022A09" w14:textId="72E91A65" w:rsidR="00656D46" w:rsidRDefault="00656D46">
      <w:pPr>
        <w:rPr>
          <w:lang w:val="fr-DZ"/>
        </w:rPr>
      </w:pPr>
    </w:p>
    <w:p w14:paraId="73A67F63" w14:textId="5571EBFB" w:rsidR="00CD554B" w:rsidRDefault="00CD554B">
      <w:pPr>
        <w:rPr>
          <w:lang w:val="fr-DZ"/>
        </w:rPr>
      </w:pPr>
    </w:p>
    <w:p w14:paraId="0E76CF22" w14:textId="7EF501BF" w:rsidR="00CD554B" w:rsidRDefault="00CD554B">
      <w:pPr>
        <w:rPr>
          <w:lang w:val="fr-DZ"/>
        </w:rPr>
      </w:pPr>
    </w:p>
    <w:p w14:paraId="2C6431BD" w14:textId="128CAA32" w:rsidR="00237628" w:rsidRPr="00237628" w:rsidRDefault="00100AB5" w:rsidP="0065233E">
      <w:pPr>
        <w:rPr>
          <w:lang/>
        </w:rPr>
      </w:pPr>
      <w:r>
        <w:rPr>
          <w:lang/>
        </w:rPr>
        <w:lastRenderedPageBreak/>
        <w:drawing>
          <wp:anchor distT="0" distB="0" distL="114300" distR="114300" simplePos="0" relativeHeight="251661312" behindDoc="0" locked="0" layoutInCell="1" allowOverlap="1" wp14:anchorId="75AE4918" wp14:editId="3267AE58">
            <wp:simplePos x="0" y="0"/>
            <wp:positionH relativeFrom="column">
              <wp:posOffset>4438650</wp:posOffset>
            </wp:positionH>
            <wp:positionV relativeFrom="paragraph">
              <wp:posOffset>152467</wp:posOffset>
            </wp:positionV>
            <wp:extent cx="1498600" cy="1894205"/>
            <wp:effectExtent l="152400" t="152400" r="368300" b="353695"/>
            <wp:wrapSquare wrapText="bothSides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8942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33E" w:rsidRPr="0065233E">
        <w:rPr>
          <w:lang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5FC508F" wp14:editId="1716B1D7">
                <wp:simplePos x="0" y="0"/>
                <wp:positionH relativeFrom="column">
                  <wp:posOffset>-586105</wp:posOffset>
                </wp:positionH>
                <wp:positionV relativeFrom="paragraph">
                  <wp:posOffset>0</wp:posOffset>
                </wp:positionV>
                <wp:extent cx="6861810" cy="9197975"/>
                <wp:effectExtent l="0" t="0" r="15240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810" cy="919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DF864" w14:textId="0C824F96" w:rsidR="0065233E" w:rsidRPr="0065233E" w:rsidRDefault="0065233E" w:rsidP="0065233E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  <w:t xml:space="preserve">Hamdi cherif Mohammed </w:t>
                            </w:r>
                          </w:p>
                          <w:p w14:paraId="33BF0C37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>Adresse: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>Achaacha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 xml:space="preserve"> – Mostaganem- Algeria </w:t>
                            </w:r>
                          </w:p>
                          <w:p w14:paraId="4344656F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 xml:space="preserve">Tel :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cs/>
                                <w:lang w:val="fr-FR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>(+213)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cs/>
                                <w:lang w:val="fr-FR"/>
                              </w:rPr>
                              <w:t>‎</w:t>
                            </w:r>
                            <w:proofErr w:type="gramStart"/>
                            <w:r w:rsidRPr="0065233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noProof w:val="0"/>
                                <w:sz w:val="24"/>
                                <w:szCs w:val="24"/>
                                <w:cs/>
                                <w:lang w:val="fr-FR"/>
                              </w:rPr>
                              <w:t>0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>797572526 ,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 xml:space="preserve"> (+213)0552610732</w:t>
                            </w:r>
                          </w:p>
                          <w:p w14:paraId="31F429CB" w14:textId="77777777" w:rsidR="0065233E" w:rsidRPr="0065233E" w:rsidRDefault="0065233E" w:rsidP="0065233E">
                            <w:pPr>
                              <w:spacing w:after="0" w:line="276" w:lineRule="auto"/>
                              <w:rPr>
                                <w:noProof w:val="0"/>
                                <w:lang w:val="fr-FR"/>
                              </w:rPr>
                            </w:pP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>Email: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hyperlink r:id="rId11" w:history="1">
                              <w:r w:rsidRPr="0065233E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 w:val="0"/>
                                  <w:color w:val="0563C1" w:themeColor="hyperlink"/>
                                  <w:sz w:val="24"/>
                                  <w:szCs w:val="24"/>
                                  <w:u w:val="single"/>
                                  <w:lang w:val="fr-FR"/>
                                </w:rPr>
                                <w:t>mohammed.hamdicheerif.etu@univ-mosta.dz</w:t>
                              </w:r>
                            </w:hyperlink>
                          </w:p>
                          <w:p w14:paraId="7EF41BBF" w14:textId="77777777" w:rsidR="0065233E" w:rsidRPr="0065233E" w:rsidRDefault="0065233E" w:rsidP="0065233E">
                            <w:pPr>
                              <w:spacing w:after="0" w:line="276" w:lineRule="auto"/>
                              <w:jc w:val="right"/>
                              <w:rPr>
                                <w:noProof w:val="0"/>
                                <w:lang w:val="fr-FR"/>
                              </w:rPr>
                            </w:pPr>
                          </w:p>
                          <w:p w14:paraId="75D967C5" w14:textId="77777777" w:rsidR="0065233E" w:rsidRPr="0065233E" w:rsidRDefault="0065233E" w:rsidP="0065233E">
                            <w:pPr>
                              <w:spacing w:after="200" w:line="276" w:lineRule="auto"/>
                              <w:jc w:val="center"/>
                              <w:rPr>
                                <w:noProof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48"/>
                                <w:szCs w:val="52"/>
                                <w:lang w:val="fr-FR"/>
                              </w:rPr>
                              <w:t>CV</w:t>
                            </w:r>
                          </w:p>
                          <w:p w14:paraId="306ED44C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  <w:t>ETUDES ET FORMATIONS</w:t>
                            </w:r>
                          </w:p>
                          <w:p w14:paraId="26D33875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 xml:space="preserve">2008 :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>Secondary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>education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>certificate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 xml:space="preserve"> (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>Baccalaureate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>)</w:t>
                            </w:r>
                          </w:p>
                          <w:p w14:paraId="1029B9F9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/>
                              </w:rPr>
                              <w:t>2013 : Diplôme d'enseignement secondaire.  (École supérieure de l'enseignement technique – Oran)</w:t>
                            </w:r>
                          </w:p>
                          <w:p w14:paraId="2BD0344A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2025 :   Quatrième année Doctorat, spécialité Microélectronique</w:t>
                            </w:r>
                          </w:p>
                          <w:p w14:paraId="6D72C283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Université Abdelhamid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Inb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Badis Mostaganem- LTPS</w:t>
                            </w:r>
                          </w:p>
                          <w:p w14:paraId="669D0E4E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  <w:t>Experiences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  <w:t>:</w:t>
                            </w:r>
                            <w:proofErr w:type="gramEnd"/>
                          </w:p>
                          <w:p w14:paraId="323AA3C6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2013 – </w:t>
                            </w: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2025: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  13 ans d'expérience dans l'enseignement secondaire (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electronique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)</w:t>
                            </w:r>
                          </w:p>
                          <w:p w14:paraId="0EA9A9D1" w14:textId="77777777" w:rsidR="0065233E" w:rsidRPr="0065233E" w:rsidRDefault="0065233E" w:rsidP="0065233E">
                            <w:pPr>
                              <w:spacing w:after="0"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  <w:t>Communications</w:t>
                            </w:r>
                          </w:p>
                          <w:p w14:paraId="1DE463F6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2024</w:t>
                            </w: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  :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1st international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conference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 on “Energy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Systems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Artificial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Intelligence, Plasma, Materials and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Environment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”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October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16 and 17, 2024,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Ghardaia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, Algeria.</w:t>
                            </w:r>
                          </w:p>
                          <w:p w14:paraId="5DDB8E36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</w:pP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2024: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   International Seminar on Materials and Engineering Structures (ISMES’2024) in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RELIZANE, ALGERIA,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during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October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, 26-27, 2024.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</w:p>
                          <w:p w14:paraId="4AEB9026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</w:pP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2024: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   International Seminar on Materials and Engineering Structures (ISMES’2024) in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RELIZANE,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ALGERIA,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during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October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, 26-27, 2024.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</w:p>
                          <w:p w14:paraId="4A05D62C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  <w:t xml:space="preserve">Scientific </w:t>
                            </w: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b/>
                                <w:bCs/>
                                <w:noProof w:val="0"/>
                                <w:sz w:val="28"/>
                                <w:szCs w:val="28"/>
                                <w:lang w:val="fr-FR"/>
                              </w:rPr>
                              <w:t>publications:</w:t>
                            </w:r>
                            <w:proofErr w:type="gramEnd"/>
                          </w:p>
                          <w:p w14:paraId="5CF6440D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</w:pP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2024: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Investigating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the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multifaceted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characteristics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of Ba2FeWO6 double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perovskite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: insights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from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density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functional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theory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. Journal of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Molecular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Graphics and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Modelling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132, 108834.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https://doi.org/10.1016/j.jmgm.2024.108834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</w:p>
                          <w:p w14:paraId="6E9DA067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</w:pP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2024: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Innovative double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perovskite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: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unveiling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the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dynamical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stability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optoelectronic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magnetic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and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transport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properties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of Ba2CrWO6 for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thermoelectric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and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optical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applications. Optical and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Quantum Electronics, 56(9), 1532   https://doi.org/10.1007/s11082-024-07415-2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‎.</w:t>
                            </w:r>
                          </w:p>
                          <w:p w14:paraId="301F8F06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</w:pPr>
                            <w:proofErr w:type="gram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2024:</w:t>
                            </w:r>
                            <w:proofErr w:type="gram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Theoretical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investigation of Sr2TmWO6 (Tm= Cr, Fe, and Co):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Analyzing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structural,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mechanical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optoelectronic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and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thermoelectric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properties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for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enhanced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spintronic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and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thermoelectric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applications. Solid State Communications, 397, 115792.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rtl/>
                                <w:lang w:val="fr-FR" w:bidi="ar-DZ"/>
                              </w:rPr>
                              <w:t>‏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  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https://doi.org/10.1016/j.ssc.2024.115792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</w:p>
                          <w:p w14:paraId="45BE998B" w14:textId="77777777" w:rsidR="0065233E" w:rsidRPr="0065233E" w:rsidRDefault="0065233E" w:rsidP="0065233E">
                            <w:pPr>
                              <w:spacing w:after="200" w:line="276" w:lineRule="auto"/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</w:pPr>
                            <w:r w:rsidRPr="0065233E">
                              <w:rPr>
                                <w:rFonts w:asciiTheme="majorBidi" w:hAnsiTheme="majorBidi" w:cstheme="majorBidi" w:hint="cs"/>
                                <w:noProof w:val="0"/>
                                <w:cs/>
                                <w:lang w:val="fr-FR" w:bidi="ar-DZ"/>
                              </w:rPr>
                              <w:t xml:space="preserve">2025: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N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Mechehoud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A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Zitouni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B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Bouadjemi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M Houari, S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Haid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M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Matougui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M Hamdi Cherif, T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Lantri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S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Bentata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, B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Bouhafs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. A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Comprehensive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DFT+ U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Study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of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Optoelectronic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and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Thermoelectric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Properties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of a new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half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semiconductor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(HSC)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Chloro-Elpasolite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Rb2AgMoCl6 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for Green Energy. Solid State Communications.  Volume 715, 417603, 15 </w:t>
                            </w:r>
                            <w:proofErr w:type="spellStart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>October</w:t>
                            </w:r>
                            <w:proofErr w:type="spellEnd"/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lang w:val="fr-FR" w:bidi="ar-DZ"/>
                              </w:rPr>
                              <w:t xml:space="preserve"> 2025.</w:t>
                            </w:r>
                            <w:r w:rsidRPr="0065233E">
                              <w:rPr>
                                <w:rFonts w:asciiTheme="majorBidi" w:hAnsiTheme="majorBidi" w:cstheme="majorBidi"/>
                                <w:noProof w:val="0"/>
                                <w:cs/>
                                <w:lang w:val="fr-FR" w:bidi="ar-DZ"/>
                              </w:rPr>
                              <w:t>‎</w:t>
                            </w:r>
                          </w:p>
                          <w:p w14:paraId="22101272" w14:textId="2DCC2A5F" w:rsidR="0065233E" w:rsidRDefault="006523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C50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6.15pt;margin-top:0;width:540.3pt;height:724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">
                <v:textbox>
                  <w:txbxContent>
                    <w:p w14:paraId="77CDF864" w14:textId="0C824F96" w:rsidR="0065233E" w:rsidRPr="0065233E" w:rsidRDefault="0065233E" w:rsidP="0065233E">
                      <w:pPr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  <w:t xml:space="preserve">Hamdi cherif Mohammed </w:t>
                      </w:r>
                    </w:p>
                    <w:p w14:paraId="33BF0C37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</w:pPr>
                      <w:proofErr w:type="gramStart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>Adresse: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>Achaacha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 xml:space="preserve"> – Mostaganem- Algeria </w:t>
                      </w:r>
                    </w:p>
                    <w:p w14:paraId="4344656F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 xml:space="preserve">Tel : </w:t>
                      </w: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cs/>
                          <w:lang w:val="fr-FR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>(+213)</w:t>
                      </w: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cs/>
                          <w:lang w:val="fr-FR"/>
                        </w:rPr>
                        <w:t>‎</w:t>
                      </w:r>
                      <w:proofErr w:type="gramStart"/>
                      <w:r w:rsidRPr="0065233E">
                        <w:rPr>
                          <w:rFonts w:asciiTheme="majorBidi" w:hAnsiTheme="majorBidi" w:cstheme="majorBidi" w:hint="cs"/>
                          <w:b/>
                          <w:bCs/>
                          <w:noProof w:val="0"/>
                          <w:sz w:val="24"/>
                          <w:szCs w:val="24"/>
                          <w:cs/>
                          <w:lang w:val="fr-FR"/>
                        </w:rPr>
                        <w:t>0</w:t>
                      </w: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>797572526 ,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 xml:space="preserve"> (+213)0552610732</w:t>
                      </w:r>
                    </w:p>
                    <w:p w14:paraId="31F429CB" w14:textId="77777777" w:rsidR="0065233E" w:rsidRPr="0065233E" w:rsidRDefault="0065233E" w:rsidP="0065233E">
                      <w:pPr>
                        <w:spacing w:after="0" w:line="276" w:lineRule="auto"/>
                        <w:rPr>
                          <w:noProof w:val="0"/>
                          <w:lang w:val="fr-FR"/>
                        </w:rPr>
                      </w:pPr>
                      <w:proofErr w:type="gramStart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>Email: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hyperlink r:id="rId12" w:history="1">
                        <w:r w:rsidRPr="0065233E">
                          <w:rPr>
                            <w:rFonts w:asciiTheme="majorBidi" w:hAnsiTheme="majorBidi" w:cstheme="majorBidi"/>
                            <w:b/>
                            <w:bCs/>
                            <w:noProof w:val="0"/>
                            <w:color w:val="0563C1" w:themeColor="hyperlink"/>
                            <w:sz w:val="24"/>
                            <w:szCs w:val="24"/>
                            <w:u w:val="single"/>
                            <w:lang w:val="fr-FR"/>
                          </w:rPr>
                          <w:t>mohammed.hamdicheerif.etu@univ-mosta.dz</w:t>
                        </w:r>
                      </w:hyperlink>
                    </w:p>
                    <w:p w14:paraId="7EF41BBF" w14:textId="77777777" w:rsidR="0065233E" w:rsidRPr="0065233E" w:rsidRDefault="0065233E" w:rsidP="0065233E">
                      <w:pPr>
                        <w:spacing w:after="0" w:line="276" w:lineRule="auto"/>
                        <w:jc w:val="right"/>
                        <w:rPr>
                          <w:noProof w:val="0"/>
                          <w:lang w:val="fr-FR"/>
                        </w:rPr>
                      </w:pPr>
                    </w:p>
                    <w:p w14:paraId="75D967C5" w14:textId="77777777" w:rsidR="0065233E" w:rsidRPr="0065233E" w:rsidRDefault="0065233E" w:rsidP="0065233E">
                      <w:pPr>
                        <w:spacing w:after="200" w:line="276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fr-FR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48"/>
                          <w:szCs w:val="52"/>
                          <w:lang w:val="fr-FR"/>
                        </w:rPr>
                        <w:t>CV</w:t>
                      </w:r>
                    </w:p>
                    <w:p w14:paraId="306ED44C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  <w:t>ETUDES ET FORMATIONS</w:t>
                      </w:r>
                    </w:p>
                    <w:p w14:paraId="26D33875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 xml:space="preserve">2008 :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>Secondary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>education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>certificate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 xml:space="preserve"> (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>Baccalaureate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>)</w:t>
                      </w:r>
                    </w:p>
                    <w:p w14:paraId="1029B9F9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/>
                        </w:rPr>
                        <w:t>2013 : Diplôme d'enseignement secondaire.  (École supérieure de l'enseignement technique – Oran)</w:t>
                      </w:r>
                    </w:p>
                    <w:p w14:paraId="2BD0344A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2025 :   Quatrième année Doctorat, spécialité Microélectronique</w:t>
                      </w:r>
                    </w:p>
                    <w:p w14:paraId="6D72C283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Université Abdelhamid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Inb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Badis Mostaganem- LTPS</w:t>
                      </w:r>
                    </w:p>
                    <w:p w14:paraId="669D0E4E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</w:pPr>
                      <w:proofErr w:type="spellStart"/>
                      <w:proofErr w:type="gramStart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  <w:t>Experiences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  <w:t>:</w:t>
                      </w:r>
                      <w:proofErr w:type="gramEnd"/>
                    </w:p>
                    <w:p w14:paraId="323AA3C6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2013 – </w:t>
                      </w:r>
                      <w:proofErr w:type="gram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2025: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  13 ans d'expérience dans l'enseignement secondaire (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electronique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)</w:t>
                      </w:r>
                    </w:p>
                    <w:p w14:paraId="0EA9A9D1" w14:textId="77777777" w:rsidR="0065233E" w:rsidRPr="0065233E" w:rsidRDefault="0065233E" w:rsidP="0065233E">
                      <w:pPr>
                        <w:spacing w:after="0" w:line="276" w:lineRule="auto"/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  <w:t>Communications</w:t>
                      </w:r>
                    </w:p>
                    <w:p w14:paraId="1DE463F6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2024</w:t>
                      </w:r>
                      <w:proofErr w:type="gram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  :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1st international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conference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 on “Energy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Systems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Artificial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Intelligence, Plasma, Materials and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Environment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”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October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16 and 17, 2024,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Ghardaia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, Algeria.</w:t>
                      </w:r>
                    </w:p>
                    <w:p w14:paraId="5DDB8E36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</w:pPr>
                      <w:proofErr w:type="gram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2024: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   International Seminar on Materials and Engineering Structures (ISMES’2024) in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RELIZANE, ALGERIA,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during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October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, 26-27, 2024.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</w:p>
                    <w:p w14:paraId="4AEB9026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</w:pPr>
                      <w:proofErr w:type="gram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2024: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   International Seminar on Materials and Engineering Structures (ISMES’2024) in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RELIZANE,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ALGERIA,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during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October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, 26-27, 2024.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</w:p>
                    <w:p w14:paraId="4A05D62C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</w:pPr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  <w:t xml:space="preserve">Scientific </w:t>
                      </w:r>
                      <w:proofErr w:type="gramStart"/>
                      <w:r w:rsidRPr="0065233E">
                        <w:rPr>
                          <w:rFonts w:asciiTheme="majorBidi" w:hAnsiTheme="majorBidi" w:cstheme="majorBidi"/>
                          <w:b/>
                          <w:bCs/>
                          <w:noProof w:val="0"/>
                          <w:sz w:val="28"/>
                          <w:szCs w:val="28"/>
                          <w:lang w:val="fr-FR"/>
                        </w:rPr>
                        <w:t>publications:</w:t>
                      </w:r>
                      <w:proofErr w:type="gramEnd"/>
                    </w:p>
                    <w:p w14:paraId="5CF6440D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</w:pPr>
                      <w:proofErr w:type="gram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2024: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Investigating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the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multifaceted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characteristics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of Ba2FeWO6 double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perovskite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: insights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from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density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functional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theory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. Journal of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Molecular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Graphics and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Modelling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132, 108834.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https://doi.org/10.1016/j.jmgm.2024.108834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</w:p>
                    <w:p w14:paraId="6E9DA067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</w:pPr>
                      <w:proofErr w:type="gram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2024: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Innovative double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perovskite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: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unveiling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the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dynamical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stability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optoelectronic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magnetic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and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transport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properties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of Ba2CrWO6 for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thermoelectric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and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optical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applications. Optical and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Quantum Electronics, 56(9), 1532   https://doi.org/10.1007/s11082-024-07415-2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‎.</w:t>
                      </w:r>
                    </w:p>
                    <w:p w14:paraId="301F8F06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</w:pPr>
                      <w:proofErr w:type="gram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2024:</w:t>
                      </w:r>
                      <w:proofErr w:type="gram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Theoretical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investigation of Sr2TmWO6 (Tm= Cr, Fe, and Co):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Analyzing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structural,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mechanical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optoelectronic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and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thermoelectric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properties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for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enhanced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spintronic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and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thermoelectric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applications. Solid State Communications, 397, 115792.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rtl/>
                          <w:lang w:val="fr-FR" w:bidi="ar-DZ"/>
                        </w:rPr>
                        <w:t>‏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  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https://doi.org/10.1016/j.ssc.2024.115792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</w:p>
                    <w:p w14:paraId="45BE998B" w14:textId="77777777" w:rsidR="0065233E" w:rsidRPr="0065233E" w:rsidRDefault="0065233E" w:rsidP="0065233E">
                      <w:pPr>
                        <w:spacing w:after="200" w:line="276" w:lineRule="auto"/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</w:pPr>
                      <w:r w:rsidRPr="0065233E">
                        <w:rPr>
                          <w:rFonts w:asciiTheme="majorBidi" w:hAnsiTheme="majorBidi" w:cstheme="majorBidi" w:hint="cs"/>
                          <w:noProof w:val="0"/>
                          <w:cs/>
                          <w:lang w:val="fr-FR" w:bidi="ar-DZ"/>
                        </w:rPr>
                        <w:t xml:space="preserve">2025: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N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Mechehoud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A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Zitouni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B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Bouadjemi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M Houari, S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Haid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M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Matougui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M Hamdi Cherif, T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Lantri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S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Bentata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, B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Bouhafs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. A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Comprehensive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DFT+ U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Study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of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Optoelectronic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and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Thermoelectric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Properties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of a new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half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semiconductor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(HSC)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Chloro-Elpasolite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Rb2AgMoCl6 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for Green Energy. Solid State Communications.  Volume 715, 417603, 15 </w:t>
                      </w:r>
                      <w:proofErr w:type="spellStart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>October</w:t>
                      </w:r>
                      <w:proofErr w:type="spellEnd"/>
                      <w:r w:rsidRPr="0065233E">
                        <w:rPr>
                          <w:rFonts w:asciiTheme="majorBidi" w:hAnsiTheme="majorBidi" w:cstheme="majorBidi"/>
                          <w:noProof w:val="0"/>
                          <w:lang w:val="fr-FR" w:bidi="ar-DZ"/>
                        </w:rPr>
                        <w:t xml:space="preserve"> 2025.</w:t>
                      </w:r>
                      <w:r w:rsidRPr="0065233E">
                        <w:rPr>
                          <w:rFonts w:asciiTheme="majorBidi" w:hAnsiTheme="majorBidi" w:cstheme="majorBidi"/>
                          <w:noProof w:val="0"/>
                          <w:cs/>
                          <w:lang w:val="fr-FR" w:bidi="ar-DZ"/>
                        </w:rPr>
                        <w:t>‎</w:t>
                      </w:r>
                    </w:p>
                    <w:p w14:paraId="22101272" w14:textId="2DCC2A5F" w:rsidR="0065233E" w:rsidRDefault="0065233E"/>
                  </w:txbxContent>
                </v:textbox>
                <w10:wrap type="square"/>
              </v:shape>
            </w:pict>
          </mc:Fallback>
        </mc:AlternateContent>
      </w:r>
    </w:p>
    <w:sectPr w:rsidR="00237628" w:rsidRPr="00237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C49"/>
    <w:rsid w:val="00100AB5"/>
    <w:rsid w:val="00124C49"/>
    <w:rsid w:val="00237628"/>
    <w:rsid w:val="0065233E"/>
    <w:rsid w:val="00656D46"/>
    <w:rsid w:val="007917D4"/>
    <w:rsid w:val="00801938"/>
    <w:rsid w:val="00A35059"/>
    <w:rsid w:val="00A45905"/>
    <w:rsid w:val="00CD554B"/>
    <w:rsid w:val="00FE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B9EF"/>
  <w15:chartTrackingRefBased/>
  <w15:docId w15:val="{A69792D0-72A6-48CA-ABFE-CBD85E76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5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mailto:mohammed.hamdicheerif.etu@univ-mosta.d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mailto:mohammed.hamdicheerif.etu@univ-mosta.dz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techdz techsz</dc:creator>
  <cp:keywords/>
  <dc:description/>
  <cp:lastModifiedBy>techdz techsz</cp:lastModifiedBy>
  <cp:revision>6</cp:revision>
  <dcterms:created xsi:type="dcterms:W3CDTF">2025-10-30T08:03:00Z</dcterms:created>
  <dcterms:modified xsi:type="dcterms:W3CDTF">2025-10-30T08:12:00Z</dcterms:modified>
</cp:coreProperties>
</file>